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991"/>
        <w:tblW w:w="52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2591"/>
        <w:gridCol w:w="3125"/>
        <w:gridCol w:w="2503"/>
      </w:tblGrid>
      <w:tr w:rsidR="0090348A" w:rsidRPr="0090348A" w:rsidTr="00293F4C">
        <w:trPr>
          <w:trHeight w:val="1388"/>
        </w:trPr>
        <w:tc>
          <w:tcPr>
            <w:tcW w:w="1105" w:type="pct"/>
            <w:vAlign w:val="center"/>
            <w:hideMark/>
          </w:tcPr>
          <w:p w:rsidR="0090348A" w:rsidRPr="0090348A" w:rsidRDefault="0090348A" w:rsidP="0090348A">
            <w:pPr>
              <w:widowControl/>
              <w:autoSpaceDE/>
              <w:autoSpaceDN/>
              <w:adjustRightInd/>
              <w:spacing w:line="276" w:lineRule="auto"/>
              <w:jc w:val="both"/>
            </w:pPr>
          </w:p>
          <w:p w:rsidR="0090348A" w:rsidRPr="0090348A" w:rsidRDefault="0090348A" w:rsidP="0090348A">
            <w:pPr>
              <w:widowControl/>
              <w:autoSpaceDE/>
              <w:autoSpaceDN/>
              <w:adjustRightInd/>
              <w:spacing w:line="276" w:lineRule="auto"/>
              <w:jc w:val="center"/>
              <w:rPr>
                <w:lang w:val="x-none"/>
              </w:rPr>
            </w:pPr>
            <w:r w:rsidRPr="0090348A">
              <w:rPr>
                <w:noProof/>
              </w:rPr>
              <w:drawing>
                <wp:inline distT="0" distB="0" distL="0" distR="0" wp14:anchorId="060FEAC7" wp14:editId="2BAE9050">
                  <wp:extent cx="1009650" cy="657225"/>
                  <wp:effectExtent l="0" t="0" r="0" b="9525"/>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9650" cy="657225"/>
                          </a:xfrm>
                          <a:prstGeom prst="rect">
                            <a:avLst/>
                          </a:prstGeom>
                          <a:noFill/>
                          <a:ln>
                            <a:noFill/>
                          </a:ln>
                        </pic:spPr>
                      </pic:pic>
                    </a:graphicData>
                  </a:graphic>
                </wp:inline>
              </w:drawing>
            </w:r>
          </w:p>
          <w:p w:rsidR="0090348A" w:rsidRPr="0090348A" w:rsidRDefault="0090348A" w:rsidP="0090348A">
            <w:pPr>
              <w:widowControl/>
              <w:autoSpaceDE/>
              <w:autoSpaceDN/>
              <w:adjustRightInd/>
              <w:spacing w:line="276" w:lineRule="auto"/>
              <w:jc w:val="center"/>
              <w:rPr>
                <w:lang w:val="x-none"/>
              </w:rPr>
            </w:pPr>
            <w:r w:rsidRPr="0090348A">
              <w:rPr>
                <w:lang w:val="x-none"/>
              </w:rPr>
              <w:t>Европейски съюз</w:t>
            </w:r>
          </w:p>
        </w:tc>
        <w:tc>
          <w:tcPr>
            <w:tcW w:w="1228" w:type="pct"/>
            <w:hideMark/>
          </w:tcPr>
          <w:p w:rsidR="0090348A" w:rsidRPr="0090348A" w:rsidRDefault="0090348A" w:rsidP="0090348A">
            <w:pPr>
              <w:widowControl/>
              <w:autoSpaceDE/>
              <w:autoSpaceDN/>
              <w:adjustRightInd/>
              <w:spacing w:line="276" w:lineRule="auto"/>
              <w:jc w:val="both"/>
              <w:rPr>
                <w:i/>
                <w:iCs/>
                <w:lang w:val="x-none"/>
              </w:rPr>
            </w:pPr>
          </w:p>
          <w:p w:rsidR="0090348A" w:rsidRPr="0090348A" w:rsidRDefault="0090348A" w:rsidP="0090348A">
            <w:pPr>
              <w:widowControl/>
              <w:autoSpaceDE/>
              <w:autoSpaceDN/>
              <w:adjustRightInd/>
              <w:spacing w:line="276" w:lineRule="auto"/>
              <w:jc w:val="center"/>
              <w:rPr>
                <w:i/>
                <w:iCs/>
                <w:lang w:val="x-none"/>
              </w:rPr>
            </w:pPr>
            <w:r w:rsidRPr="0090348A">
              <w:rPr>
                <w:noProof/>
              </w:rPr>
              <w:drawing>
                <wp:inline distT="0" distB="0" distL="0" distR="0" wp14:anchorId="62E3137E" wp14:editId="3C6FBF16">
                  <wp:extent cx="762000" cy="600075"/>
                  <wp:effectExtent l="0" t="0" r="0" b="9525"/>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600075"/>
                          </a:xfrm>
                          <a:prstGeom prst="rect">
                            <a:avLst/>
                          </a:prstGeom>
                          <a:noFill/>
                          <a:ln>
                            <a:noFill/>
                          </a:ln>
                        </pic:spPr>
                      </pic:pic>
                    </a:graphicData>
                  </a:graphic>
                </wp:inline>
              </w:drawing>
            </w:r>
          </w:p>
        </w:tc>
        <w:tc>
          <w:tcPr>
            <w:tcW w:w="1481" w:type="pct"/>
            <w:vAlign w:val="center"/>
          </w:tcPr>
          <w:p w:rsidR="0090348A" w:rsidRPr="0090348A" w:rsidRDefault="0090348A" w:rsidP="0090348A">
            <w:pPr>
              <w:widowControl/>
              <w:autoSpaceDE/>
              <w:autoSpaceDN/>
              <w:adjustRightInd/>
              <w:spacing w:line="276" w:lineRule="auto"/>
              <w:jc w:val="center"/>
              <w:rPr>
                <w:lang w:val="x-none"/>
              </w:rPr>
            </w:pPr>
            <w:r w:rsidRPr="0090348A">
              <w:rPr>
                <w:noProof/>
                <w:sz w:val="24"/>
              </w:rPr>
              <w:drawing>
                <wp:inline distT="0" distB="0" distL="0" distR="0" wp14:anchorId="26028191" wp14:editId="49315198">
                  <wp:extent cx="1790700" cy="733425"/>
                  <wp:effectExtent l="0" t="0" r="0" b="9525"/>
                  <wp:docPr id="3" name="Картина 3" descr="Описание: logo-bg-right-no-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ogo-bg-right-no-back"/>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90700" cy="733425"/>
                          </a:xfrm>
                          <a:prstGeom prst="rect">
                            <a:avLst/>
                          </a:prstGeom>
                          <a:noFill/>
                          <a:ln>
                            <a:noFill/>
                          </a:ln>
                        </pic:spPr>
                      </pic:pic>
                    </a:graphicData>
                  </a:graphic>
                </wp:inline>
              </w:drawing>
            </w:r>
          </w:p>
        </w:tc>
        <w:tc>
          <w:tcPr>
            <w:tcW w:w="1187" w:type="pct"/>
            <w:hideMark/>
          </w:tcPr>
          <w:p w:rsidR="0090348A" w:rsidRPr="0090348A" w:rsidRDefault="0090348A" w:rsidP="0090348A">
            <w:pPr>
              <w:widowControl/>
              <w:autoSpaceDE/>
              <w:autoSpaceDN/>
              <w:adjustRightInd/>
              <w:spacing w:line="276" w:lineRule="auto"/>
              <w:jc w:val="both"/>
              <w:rPr>
                <w:lang w:val="x-none"/>
              </w:rPr>
            </w:pPr>
          </w:p>
          <w:p w:rsidR="0090348A" w:rsidRPr="0090348A" w:rsidRDefault="0090348A" w:rsidP="0090348A">
            <w:pPr>
              <w:widowControl/>
              <w:autoSpaceDE/>
              <w:autoSpaceDN/>
              <w:adjustRightInd/>
              <w:spacing w:line="276" w:lineRule="auto"/>
              <w:jc w:val="center"/>
              <w:rPr>
                <w:lang w:val="x-none"/>
              </w:rPr>
            </w:pPr>
            <w:r w:rsidRPr="0090348A">
              <w:rPr>
                <w:noProof/>
              </w:rPr>
              <w:drawing>
                <wp:inline distT="0" distB="0" distL="0" distR="0" wp14:anchorId="04141DB9" wp14:editId="12C4EC18">
                  <wp:extent cx="1381125" cy="495300"/>
                  <wp:effectExtent l="0" t="0" r="9525"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1125" cy="495300"/>
                          </a:xfrm>
                          <a:prstGeom prst="rect">
                            <a:avLst/>
                          </a:prstGeom>
                          <a:noFill/>
                          <a:ln>
                            <a:noFill/>
                          </a:ln>
                        </pic:spPr>
                      </pic:pic>
                    </a:graphicData>
                  </a:graphic>
                </wp:inline>
              </w:drawing>
            </w:r>
          </w:p>
        </w:tc>
      </w:tr>
      <w:tr w:rsidR="0090348A" w:rsidRPr="0090348A" w:rsidTr="00E63DB1">
        <w:trPr>
          <w:trHeight w:val="264"/>
        </w:trPr>
        <w:tc>
          <w:tcPr>
            <w:tcW w:w="5000" w:type="pct"/>
            <w:gridSpan w:val="4"/>
            <w:vAlign w:val="center"/>
          </w:tcPr>
          <w:p w:rsidR="0090348A" w:rsidRPr="0090348A" w:rsidRDefault="0090348A" w:rsidP="0090348A">
            <w:pPr>
              <w:widowControl/>
              <w:autoSpaceDE/>
              <w:autoSpaceDN/>
              <w:adjustRightInd/>
              <w:spacing w:line="276" w:lineRule="auto"/>
              <w:jc w:val="center"/>
              <w:rPr>
                <w:iCs/>
              </w:rPr>
            </w:pPr>
            <w:r w:rsidRPr="0090348A">
              <w:rPr>
                <w:b/>
                <w:iCs/>
                <w:spacing w:val="3"/>
                <w:sz w:val="24"/>
              </w:rPr>
              <w:t xml:space="preserve"> </w:t>
            </w:r>
            <w:r w:rsidRPr="0090348A">
              <w:rPr>
                <w:iCs/>
              </w:rPr>
              <w:t>ЕВРОПЕЙСКИ ЗЕМЕДЕЛСКИ ФОНД ЗА РАЗВИТИЕ НА СЕЛСКИТЕ РАЙОНИ –</w:t>
            </w:r>
          </w:p>
          <w:p w:rsidR="0090348A" w:rsidRPr="0090348A" w:rsidRDefault="0090348A" w:rsidP="0090348A">
            <w:pPr>
              <w:widowControl/>
              <w:autoSpaceDE/>
              <w:autoSpaceDN/>
              <w:adjustRightInd/>
              <w:spacing w:line="276" w:lineRule="auto"/>
              <w:jc w:val="center"/>
              <w:rPr>
                <w:iCs/>
              </w:rPr>
            </w:pPr>
            <w:r w:rsidRPr="0090348A">
              <w:rPr>
                <w:iCs/>
              </w:rPr>
              <w:t xml:space="preserve">ЕВРОПА ИНВЕСТИРА В СЕЛСКИТЕ РАЙОНИ </w:t>
            </w:r>
          </w:p>
        </w:tc>
      </w:tr>
    </w:tbl>
    <w:p w:rsidR="00AC1F38" w:rsidRPr="00293F4C" w:rsidRDefault="00AC1F38" w:rsidP="002C4F25">
      <w:pPr>
        <w:widowControl/>
        <w:autoSpaceDE/>
        <w:autoSpaceDN/>
        <w:adjustRightInd/>
        <w:spacing w:line="360" w:lineRule="auto"/>
        <w:jc w:val="right"/>
        <w:outlineLvl w:val="0"/>
        <w:rPr>
          <w:i/>
          <w:sz w:val="24"/>
          <w:szCs w:val="24"/>
        </w:rPr>
      </w:pPr>
      <w:r w:rsidRPr="00293F4C">
        <w:rPr>
          <w:i/>
          <w:sz w:val="24"/>
          <w:szCs w:val="24"/>
        </w:rPr>
        <w:t>Приложение №</w:t>
      </w:r>
      <w:r w:rsidR="0052043B" w:rsidRPr="00293F4C">
        <w:rPr>
          <w:i/>
          <w:sz w:val="24"/>
          <w:szCs w:val="24"/>
        </w:rPr>
        <w:t xml:space="preserve"> </w:t>
      </w:r>
      <w:r w:rsidR="006E49DC" w:rsidRPr="00293F4C">
        <w:rPr>
          <w:i/>
          <w:sz w:val="24"/>
          <w:szCs w:val="24"/>
        </w:rPr>
        <w:t>1</w:t>
      </w:r>
      <w:r w:rsidR="00CA4D68" w:rsidRPr="00293F4C">
        <w:rPr>
          <w:i/>
          <w:sz w:val="24"/>
          <w:szCs w:val="24"/>
        </w:rPr>
        <w:t xml:space="preserve">2 </w:t>
      </w:r>
    </w:p>
    <w:p w:rsidR="00CA4D68" w:rsidRPr="00B20D71" w:rsidRDefault="00CA4D68" w:rsidP="002C4F25">
      <w:pPr>
        <w:widowControl/>
        <w:autoSpaceDE/>
        <w:autoSpaceDN/>
        <w:adjustRightInd/>
        <w:spacing w:line="360" w:lineRule="auto"/>
        <w:jc w:val="right"/>
        <w:outlineLvl w:val="0"/>
        <w:rPr>
          <w:b/>
        </w:rPr>
      </w:pPr>
    </w:p>
    <w:p w:rsidR="00AC1F38" w:rsidRPr="00482A07" w:rsidRDefault="00AC1F38" w:rsidP="00AC1F38">
      <w:pPr>
        <w:widowControl/>
        <w:autoSpaceDE/>
        <w:autoSpaceDN/>
        <w:adjustRightInd/>
        <w:spacing w:line="276" w:lineRule="auto"/>
        <w:jc w:val="center"/>
        <w:outlineLvl w:val="0"/>
        <w:rPr>
          <w:b/>
          <w:sz w:val="24"/>
          <w:szCs w:val="24"/>
        </w:rPr>
      </w:pPr>
      <w:r w:rsidRPr="00482A07">
        <w:rPr>
          <w:b/>
          <w:sz w:val="24"/>
          <w:szCs w:val="24"/>
        </w:rPr>
        <w:t>ДЕКЛАРАЦИЯ</w:t>
      </w:r>
    </w:p>
    <w:p w:rsidR="00D103EE" w:rsidRPr="00482A07" w:rsidRDefault="00AC1F38" w:rsidP="00D103EE">
      <w:pPr>
        <w:widowControl/>
        <w:autoSpaceDE/>
        <w:autoSpaceDN/>
        <w:adjustRightInd/>
        <w:spacing w:line="276" w:lineRule="auto"/>
        <w:jc w:val="center"/>
        <w:outlineLvl w:val="0"/>
        <w:rPr>
          <w:b/>
          <w:sz w:val="24"/>
          <w:szCs w:val="24"/>
          <w:shd w:val="clear" w:color="auto" w:fill="FEFEFE"/>
        </w:rPr>
      </w:pPr>
      <w:r w:rsidRPr="00482A07">
        <w:rPr>
          <w:b/>
          <w:sz w:val="24"/>
          <w:szCs w:val="24"/>
        </w:rPr>
        <w:t xml:space="preserve">ЗА </w:t>
      </w:r>
      <w:r w:rsidR="00D103EE" w:rsidRPr="00482A07">
        <w:rPr>
          <w:b/>
          <w:sz w:val="24"/>
          <w:szCs w:val="24"/>
          <w:shd w:val="clear" w:color="auto" w:fill="FEFEFE"/>
        </w:rPr>
        <w:t>СЪОТВЕТСТВИЕ С ИЗИСКВАНИЯТА НА РЕГЛАМЕНТ (ЕС) № 702/2014.</w:t>
      </w:r>
    </w:p>
    <w:p w:rsidR="00D103EE" w:rsidRPr="00482A07" w:rsidRDefault="00D103EE" w:rsidP="00D103EE">
      <w:pPr>
        <w:pStyle w:val="ab"/>
        <w:ind w:left="0"/>
        <w:jc w:val="both"/>
        <w:rPr>
          <w:b/>
        </w:rPr>
      </w:pPr>
      <w:r w:rsidRPr="00482A07">
        <w:rPr>
          <w:shd w:val="clear" w:color="auto" w:fill="FEFEFE"/>
        </w:rPr>
        <w:t>(</w:t>
      </w:r>
      <w:r w:rsidRPr="00482A07">
        <w:rPr>
          <w:i/>
          <w:iCs/>
        </w:rPr>
        <w:t xml:space="preserve">попълва се само от кандидат, подали проектно предложение включващо </w:t>
      </w:r>
      <w:r w:rsidRPr="00482A07">
        <w:rPr>
          <w:i/>
          <w:iCs/>
          <w:shd w:val="clear" w:color="auto" w:fill="FEFEFE"/>
        </w:rPr>
        <w:t xml:space="preserve">преработка на продукти от приложение № І от Договора в продукти </w:t>
      </w:r>
      <w:r w:rsidRPr="00482A07">
        <w:rPr>
          <w:i/>
          <w:iCs/>
          <w:highlight w:val="white"/>
          <w:shd w:val="clear" w:color="auto" w:fill="FEFEFE"/>
        </w:rPr>
        <w:t>извън приложение № І от Договора</w:t>
      </w:r>
      <w:r w:rsidRPr="00482A07">
        <w:rPr>
          <w:shd w:val="clear" w:color="auto" w:fill="FEFEFE"/>
        </w:rPr>
        <w:t>)</w:t>
      </w:r>
    </w:p>
    <w:p w:rsidR="00D103EE" w:rsidRPr="00482A07" w:rsidRDefault="00D103EE" w:rsidP="006E49DC">
      <w:pPr>
        <w:pStyle w:val="ac"/>
        <w:spacing w:before="0" w:beforeAutospacing="0" w:after="0" w:afterAutospacing="0" w:line="276" w:lineRule="auto"/>
        <w:jc w:val="center"/>
        <w:outlineLvl w:val="0"/>
        <w:rPr>
          <w:rStyle w:val="spelle"/>
          <w:b/>
          <w:lang w:val="bg-BG"/>
        </w:rPr>
      </w:pPr>
      <w:r w:rsidRPr="00482A07">
        <w:rPr>
          <w:rStyle w:val="spelle"/>
          <w:b/>
          <w:lang w:val="bg-BG"/>
        </w:rPr>
        <w:t>Декларирам</w:t>
      </w:r>
      <w:r w:rsidRPr="00482A07">
        <w:rPr>
          <w:b/>
          <w:lang w:val="bg-BG"/>
        </w:rPr>
        <w:t xml:space="preserve">, </w:t>
      </w:r>
      <w:r w:rsidRPr="00482A07">
        <w:rPr>
          <w:rStyle w:val="spelle"/>
          <w:b/>
          <w:lang w:val="bg-BG"/>
        </w:rPr>
        <w:t>че:</w:t>
      </w:r>
    </w:p>
    <w:p w:rsidR="00D103EE" w:rsidRPr="00482A07" w:rsidRDefault="00D103EE" w:rsidP="00D103EE">
      <w:pPr>
        <w:pStyle w:val="ac"/>
        <w:spacing w:line="276" w:lineRule="auto"/>
        <w:jc w:val="both"/>
        <w:rPr>
          <w:b/>
          <w:lang w:val="bg-BG"/>
        </w:rPr>
      </w:pPr>
      <w:r w:rsidRPr="00482A07">
        <w:rPr>
          <w:b/>
          <w:lang w:val="bg-BG"/>
        </w:rPr>
        <w:t xml:space="preserve"> </w:t>
      </w:r>
      <w:r w:rsidRPr="00482A07">
        <w:rPr>
          <w:b/>
          <w:lang w:val="bg-BG"/>
        </w:rPr>
        <w:sym w:font="Wingdings 2" w:char="F0A3"/>
      </w:r>
      <w:r w:rsidRPr="00482A07">
        <w:rPr>
          <w:b/>
          <w:lang w:val="bg-BG"/>
        </w:rPr>
        <w:t xml:space="preserve"> представляваното от мен предприятие отговаря на критериите за малко и средно предприятие по смисъла на чл. 2 от Приложение 1 на </w:t>
      </w:r>
      <w:r w:rsidRPr="00482A07">
        <w:rPr>
          <w:lang w:val="bg-BG"/>
        </w:rPr>
        <w:t>Регламент (ЕС) № 702/2014 на Комисията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по отношение на държавната помощ за ма</w:t>
      </w:r>
      <w:bookmarkStart w:id="0" w:name="_GoBack"/>
      <w:bookmarkEnd w:id="0"/>
      <w:r w:rsidRPr="00482A07">
        <w:rPr>
          <w:lang w:val="bg-BG"/>
        </w:rPr>
        <w:t>лките и средни предприятия</w:t>
      </w:r>
      <w:r w:rsidRPr="00482A07">
        <w:rPr>
          <w:rStyle w:val="ae"/>
          <w:b/>
          <w:lang w:val="bg-BG"/>
        </w:rPr>
        <w:footnoteReference w:id="1"/>
      </w:r>
      <w:r w:rsidRPr="00482A07">
        <w:rPr>
          <w:lang w:val="bg-BG"/>
        </w:rPr>
        <w:t>.</w:t>
      </w:r>
    </w:p>
    <w:p w:rsidR="00D103EE" w:rsidRPr="00482A07" w:rsidRDefault="00D103EE" w:rsidP="00D103EE">
      <w:pPr>
        <w:pStyle w:val="ac"/>
        <w:spacing w:line="276" w:lineRule="auto"/>
        <w:jc w:val="both"/>
        <w:rPr>
          <w:b/>
          <w:lang w:val="bg-BG"/>
        </w:rPr>
      </w:pPr>
      <w:r w:rsidRPr="00482A07">
        <w:rPr>
          <w:b/>
          <w:lang w:val="bg-BG"/>
        </w:rPr>
        <w:sym w:font="Wingdings 2" w:char="F0A3"/>
      </w:r>
      <w:r w:rsidRPr="00482A07">
        <w:rPr>
          <w:b/>
          <w:lang w:val="bg-BG"/>
        </w:rPr>
        <w:t xml:space="preserve"> представляваното от мен предприятие не е предприятие в затруднение </w:t>
      </w:r>
      <w:r w:rsidRPr="00482A07">
        <w:rPr>
          <w:lang w:val="bg-BG"/>
        </w:rPr>
        <w:t>по смисъла на чл. 2, т. 14 от Регламент (ЕС) № 702/2014 На Комисията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по отношение на държавната помощ за малките и средни предприятия</w:t>
      </w:r>
      <w:r w:rsidRPr="00482A07">
        <w:rPr>
          <w:rStyle w:val="ae"/>
          <w:b/>
          <w:lang w:val="bg-BG"/>
        </w:rPr>
        <w:footnoteReference w:id="2"/>
      </w:r>
      <w:r w:rsidRPr="00482A07">
        <w:rPr>
          <w:lang w:val="bg-BG"/>
        </w:rPr>
        <w:t>.</w:t>
      </w:r>
    </w:p>
    <w:p w:rsidR="00D103EE" w:rsidRPr="00482A07" w:rsidRDefault="00D103EE" w:rsidP="00D103EE">
      <w:pPr>
        <w:spacing w:line="276" w:lineRule="auto"/>
        <w:jc w:val="both"/>
        <w:rPr>
          <w:sz w:val="24"/>
          <w:szCs w:val="24"/>
        </w:rPr>
      </w:pPr>
      <w:r w:rsidRPr="00482A07">
        <w:rPr>
          <w:sz w:val="24"/>
          <w:szCs w:val="24"/>
        </w:rPr>
        <w:t>Вярната информация се отбелязва с „</w:t>
      </w:r>
      <w:r w:rsidRPr="00482A07">
        <w:rPr>
          <w:sz w:val="24"/>
          <w:szCs w:val="24"/>
        </w:rPr>
        <w:sym w:font="Wingdings" w:char="F0FC"/>
      </w:r>
      <w:r w:rsidRPr="00482A07">
        <w:rPr>
          <w:sz w:val="24"/>
          <w:szCs w:val="24"/>
        </w:rPr>
        <w:t>”.</w:t>
      </w:r>
    </w:p>
    <w:p w:rsidR="00D103EE" w:rsidRPr="00482A07" w:rsidRDefault="00D103EE" w:rsidP="00D103EE">
      <w:pPr>
        <w:spacing w:line="276" w:lineRule="auto"/>
        <w:jc w:val="both"/>
        <w:rPr>
          <w:sz w:val="24"/>
          <w:szCs w:val="24"/>
        </w:rPr>
      </w:pPr>
      <w:r w:rsidRPr="00482A07">
        <w:rPr>
          <w:rStyle w:val="spelle"/>
          <w:b/>
          <w:sz w:val="24"/>
          <w:szCs w:val="24"/>
        </w:rPr>
        <w:t>Известна</w:t>
      </w:r>
      <w:r w:rsidRPr="00482A07">
        <w:rPr>
          <w:b/>
          <w:sz w:val="24"/>
          <w:szCs w:val="24"/>
        </w:rPr>
        <w:t xml:space="preserve"> </w:t>
      </w:r>
      <w:r w:rsidRPr="00482A07">
        <w:rPr>
          <w:rStyle w:val="spelle"/>
          <w:b/>
          <w:sz w:val="24"/>
          <w:szCs w:val="24"/>
        </w:rPr>
        <w:t>ми</w:t>
      </w:r>
      <w:r w:rsidRPr="00482A07">
        <w:rPr>
          <w:b/>
          <w:sz w:val="24"/>
          <w:szCs w:val="24"/>
        </w:rPr>
        <w:t xml:space="preserve"> е </w:t>
      </w:r>
      <w:r w:rsidRPr="00482A07">
        <w:rPr>
          <w:rStyle w:val="spelle"/>
          <w:b/>
          <w:sz w:val="24"/>
          <w:szCs w:val="24"/>
        </w:rPr>
        <w:t>наказателната</w:t>
      </w:r>
      <w:r w:rsidRPr="00482A07">
        <w:rPr>
          <w:b/>
          <w:sz w:val="24"/>
          <w:szCs w:val="24"/>
        </w:rPr>
        <w:t xml:space="preserve"> </w:t>
      </w:r>
      <w:r w:rsidRPr="00482A07">
        <w:rPr>
          <w:rStyle w:val="spelle"/>
          <w:b/>
          <w:sz w:val="24"/>
          <w:szCs w:val="24"/>
        </w:rPr>
        <w:t>отговорност</w:t>
      </w:r>
      <w:r w:rsidRPr="00482A07">
        <w:rPr>
          <w:b/>
          <w:sz w:val="24"/>
          <w:szCs w:val="24"/>
        </w:rPr>
        <w:t xml:space="preserve"> </w:t>
      </w:r>
      <w:r w:rsidRPr="00482A07">
        <w:rPr>
          <w:rStyle w:val="spelle"/>
          <w:b/>
          <w:sz w:val="24"/>
          <w:szCs w:val="24"/>
        </w:rPr>
        <w:t>по</w:t>
      </w:r>
      <w:r w:rsidRPr="00482A07">
        <w:rPr>
          <w:b/>
          <w:sz w:val="24"/>
          <w:szCs w:val="24"/>
        </w:rPr>
        <w:t xml:space="preserve"> </w:t>
      </w:r>
      <w:r w:rsidRPr="00482A07">
        <w:rPr>
          <w:rStyle w:val="spelle"/>
          <w:b/>
          <w:sz w:val="24"/>
          <w:szCs w:val="24"/>
        </w:rPr>
        <w:t>чл</w:t>
      </w:r>
      <w:r w:rsidRPr="00482A07">
        <w:rPr>
          <w:b/>
          <w:sz w:val="24"/>
          <w:szCs w:val="24"/>
        </w:rPr>
        <w:t xml:space="preserve">. 313 </w:t>
      </w:r>
      <w:r w:rsidRPr="00482A07">
        <w:rPr>
          <w:rStyle w:val="spelle"/>
          <w:b/>
          <w:sz w:val="24"/>
          <w:szCs w:val="24"/>
        </w:rPr>
        <w:t>от</w:t>
      </w:r>
      <w:r w:rsidRPr="00482A07">
        <w:rPr>
          <w:b/>
          <w:sz w:val="24"/>
          <w:szCs w:val="24"/>
        </w:rPr>
        <w:t xml:space="preserve"> </w:t>
      </w:r>
      <w:r w:rsidRPr="00482A07">
        <w:rPr>
          <w:rStyle w:val="spelle"/>
          <w:b/>
          <w:sz w:val="24"/>
          <w:szCs w:val="24"/>
        </w:rPr>
        <w:t>Наказателния</w:t>
      </w:r>
      <w:r w:rsidRPr="00482A07">
        <w:rPr>
          <w:b/>
          <w:sz w:val="24"/>
          <w:szCs w:val="24"/>
        </w:rPr>
        <w:t xml:space="preserve"> </w:t>
      </w:r>
      <w:r w:rsidRPr="00482A07">
        <w:rPr>
          <w:rStyle w:val="spelle"/>
          <w:b/>
          <w:sz w:val="24"/>
          <w:szCs w:val="24"/>
        </w:rPr>
        <w:t>кодекс</w:t>
      </w:r>
      <w:r w:rsidRPr="00482A07">
        <w:rPr>
          <w:b/>
          <w:sz w:val="24"/>
          <w:szCs w:val="24"/>
        </w:rPr>
        <w:br/>
      </w:r>
      <w:r w:rsidRPr="00482A07">
        <w:rPr>
          <w:rStyle w:val="spelle"/>
          <w:b/>
          <w:sz w:val="24"/>
          <w:szCs w:val="24"/>
        </w:rPr>
        <w:t>за</w:t>
      </w:r>
      <w:r w:rsidRPr="00482A07">
        <w:rPr>
          <w:b/>
          <w:sz w:val="24"/>
          <w:szCs w:val="24"/>
        </w:rPr>
        <w:t xml:space="preserve"> </w:t>
      </w:r>
      <w:r w:rsidRPr="00482A07">
        <w:rPr>
          <w:rStyle w:val="spelle"/>
          <w:b/>
          <w:sz w:val="24"/>
          <w:szCs w:val="24"/>
        </w:rPr>
        <w:t>деклариране</w:t>
      </w:r>
      <w:r w:rsidRPr="00482A07">
        <w:rPr>
          <w:b/>
          <w:sz w:val="24"/>
          <w:szCs w:val="24"/>
        </w:rPr>
        <w:t xml:space="preserve"> </w:t>
      </w:r>
      <w:r w:rsidRPr="00482A07">
        <w:rPr>
          <w:rStyle w:val="spelle"/>
          <w:b/>
          <w:sz w:val="24"/>
          <w:szCs w:val="24"/>
        </w:rPr>
        <w:t>на</w:t>
      </w:r>
      <w:r w:rsidRPr="00482A07">
        <w:rPr>
          <w:b/>
          <w:sz w:val="24"/>
          <w:szCs w:val="24"/>
        </w:rPr>
        <w:t xml:space="preserve"> </w:t>
      </w:r>
      <w:r w:rsidRPr="00482A07">
        <w:rPr>
          <w:rStyle w:val="spelle"/>
          <w:b/>
          <w:sz w:val="24"/>
          <w:szCs w:val="24"/>
        </w:rPr>
        <w:t>неверни</w:t>
      </w:r>
      <w:r w:rsidRPr="00482A07">
        <w:rPr>
          <w:b/>
          <w:sz w:val="24"/>
          <w:szCs w:val="24"/>
        </w:rPr>
        <w:t xml:space="preserve"> </w:t>
      </w:r>
      <w:r w:rsidRPr="00482A07">
        <w:rPr>
          <w:rStyle w:val="spelle"/>
          <w:b/>
          <w:sz w:val="24"/>
          <w:szCs w:val="24"/>
        </w:rPr>
        <w:t>обстоятелства</w:t>
      </w:r>
      <w:r w:rsidRPr="00482A07">
        <w:rPr>
          <w:b/>
          <w:sz w:val="24"/>
          <w:szCs w:val="24"/>
        </w:rPr>
        <w:t>.</w:t>
      </w:r>
    </w:p>
    <w:p w:rsidR="00D103EE" w:rsidRPr="00482A07" w:rsidRDefault="00D103EE" w:rsidP="00D103EE">
      <w:pPr>
        <w:jc w:val="both"/>
        <w:rPr>
          <w:rStyle w:val="spelle"/>
          <w:sz w:val="24"/>
          <w:szCs w:val="24"/>
        </w:rPr>
      </w:pPr>
    </w:p>
    <w:p w:rsidR="00D103EE" w:rsidRPr="00482A07" w:rsidRDefault="006E49DC" w:rsidP="00D103EE">
      <w:pPr>
        <w:jc w:val="both"/>
        <w:rPr>
          <w:sz w:val="24"/>
          <w:szCs w:val="24"/>
        </w:rPr>
      </w:pPr>
      <w:r>
        <w:rPr>
          <w:rStyle w:val="spelle"/>
          <w:sz w:val="24"/>
          <w:szCs w:val="24"/>
        </w:rPr>
        <w:t>Д</w:t>
      </w:r>
      <w:r w:rsidR="00D103EE" w:rsidRPr="00482A07">
        <w:rPr>
          <w:rStyle w:val="spelle"/>
          <w:sz w:val="24"/>
          <w:szCs w:val="24"/>
        </w:rPr>
        <w:t>ата</w:t>
      </w:r>
      <w:r w:rsidR="00D103EE" w:rsidRPr="00482A07">
        <w:rPr>
          <w:sz w:val="24"/>
          <w:szCs w:val="24"/>
        </w:rPr>
        <w:t xml:space="preserve"> </w:t>
      </w:r>
      <w:r w:rsidR="00D103EE" w:rsidRPr="00482A07">
        <w:rPr>
          <w:rStyle w:val="spelle"/>
          <w:sz w:val="24"/>
          <w:szCs w:val="24"/>
        </w:rPr>
        <w:t>на</w:t>
      </w:r>
      <w:r w:rsidR="00D103EE" w:rsidRPr="00482A07">
        <w:rPr>
          <w:sz w:val="24"/>
          <w:szCs w:val="24"/>
        </w:rPr>
        <w:t xml:space="preserve"> </w:t>
      </w:r>
      <w:r w:rsidR="00D103EE" w:rsidRPr="00482A07">
        <w:rPr>
          <w:rStyle w:val="spelle"/>
          <w:sz w:val="24"/>
          <w:szCs w:val="24"/>
        </w:rPr>
        <w:t>деклариране</w:t>
      </w:r>
      <w:r w:rsidR="00D103EE" w:rsidRPr="00482A07">
        <w:rPr>
          <w:sz w:val="24"/>
          <w:szCs w:val="24"/>
        </w:rPr>
        <w:t>:</w:t>
      </w:r>
      <w:r w:rsidR="00D103EE" w:rsidRPr="00482A07">
        <w:rPr>
          <w:sz w:val="24"/>
          <w:szCs w:val="24"/>
        </w:rPr>
        <w:tab/>
      </w:r>
      <w:r w:rsidR="00D103EE" w:rsidRPr="00482A07">
        <w:rPr>
          <w:sz w:val="24"/>
          <w:szCs w:val="24"/>
        </w:rPr>
        <w:tab/>
      </w:r>
      <w:r w:rsidR="00D103EE" w:rsidRPr="00482A07">
        <w:rPr>
          <w:sz w:val="24"/>
          <w:szCs w:val="24"/>
        </w:rPr>
        <w:tab/>
      </w:r>
      <w:r w:rsidR="00D103EE" w:rsidRPr="00482A07">
        <w:rPr>
          <w:sz w:val="24"/>
          <w:szCs w:val="24"/>
        </w:rPr>
        <w:tab/>
      </w:r>
      <w:r w:rsidR="00D103EE" w:rsidRPr="00482A07">
        <w:rPr>
          <w:sz w:val="24"/>
          <w:szCs w:val="24"/>
        </w:rPr>
        <w:tab/>
      </w:r>
      <w:r w:rsidR="00D103EE" w:rsidRPr="00482A07">
        <w:rPr>
          <w:sz w:val="24"/>
          <w:szCs w:val="24"/>
        </w:rPr>
        <w:tab/>
      </w:r>
      <w:r w:rsidR="00D103EE" w:rsidRPr="00482A07">
        <w:rPr>
          <w:rStyle w:val="spelle"/>
          <w:sz w:val="24"/>
          <w:szCs w:val="24"/>
        </w:rPr>
        <w:t>Декларатор:</w:t>
      </w:r>
    </w:p>
    <w:p w:rsidR="00D103EE" w:rsidRPr="00482A07" w:rsidRDefault="00293F4C" w:rsidP="00D103EE">
      <w:pPr>
        <w:jc w:val="both"/>
        <w:rPr>
          <w:rStyle w:val="spelle"/>
          <w:sz w:val="24"/>
          <w:szCs w:val="24"/>
        </w:rPr>
      </w:pPr>
      <w:r>
        <w:rPr>
          <w:rStyle w:val="spelle"/>
          <w:sz w:val="24"/>
          <w:szCs w:val="24"/>
        </w:rPr>
        <w:tab/>
        <w:t xml:space="preserve">  </w:t>
      </w:r>
      <w:r w:rsidR="00D103EE" w:rsidRPr="00482A07">
        <w:rPr>
          <w:rStyle w:val="spelle"/>
          <w:sz w:val="24"/>
          <w:szCs w:val="24"/>
        </w:rPr>
        <w:t xml:space="preserve">   </w:t>
      </w:r>
      <w:r>
        <w:rPr>
          <w:rStyle w:val="spelle"/>
          <w:sz w:val="24"/>
          <w:szCs w:val="24"/>
        </w:rPr>
        <w:t xml:space="preserve">                              </w:t>
      </w:r>
      <w:r w:rsidR="00D103EE" w:rsidRPr="00482A07">
        <w:rPr>
          <w:rStyle w:val="spelle"/>
          <w:sz w:val="24"/>
          <w:szCs w:val="24"/>
        </w:rPr>
        <w:t xml:space="preserve">                         </w:t>
      </w:r>
      <w:r w:rsidR="00D103EE" w:rsidRPr="00482A07">
        <w:rPr>
          <w:rStyle w:val="spelle"/>
          <w:sz w:val="24"/>
          <w:szCs w:val="24"/>
        </w:rPr>
        <w:tab/>
      </w:r>
      <w:r w:rsidR="00D103EE" w:rsidRPr="00482A07">
        <w:rPr>
          <w:rStyle w:val="spelle"/>
          <w:sz w:val="24"/>
          <w:szCs w:val="24"/>
        </w:rPr>
        <w:tab/>
        <w:t xml:space="preserve">                                  (подпис)</w:t>
      </w:r>
    </w:p>
    <w:sectPr w:rsidR="00D103EE" w:rsidRPr="00482A07" w:rsidSect="00293F4C">
      <w:headerReference w:type="default" r:id="rId13"/>
      <w:pgSz w:w="11906" w:h="16838"/>
      <w:pgMar w:top="284" w:right="991" w:bottom="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5A1" w:rsidRDefault="00B815A1" w:rsidP="008C7F60">
      <w:r>
        <w:separator/>
      </w:r>
    </w:p>
  </w:endnote>
  <w:endnote w:type="continuationSeparator" w:id="0">
    <w:p w:rsidR="00B815A1" w:rsidRDefault="00B815A1" w:rsidP="008C7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5A1" w:rsidRDefault="00B815A1" w:rsidP="008C7F60">
      <w:r>
        <w:separator/>
      </w:r>
    </w:p>
  </w:footnote>
  <w:footnote w:type="continuationSeparator" w:id="0">
    <w:p w:rsidR="00B815A1" w:rsidRDefault="00B815A1" w:rsidP="008C7F60">
      <w:r>
        <w:continuationSeparator/>
      </w:r>
    </w:p>
  </w:footnote>
  <w:footnote w:id="1">
    <w:p w:rsidR="00D103EE" w:rsidRPr="0014344A" w:rsidRDefault="00D103EE" w:rsidP="00293F4C">
      <w:pPr>
        <w:jc w:val="both"/>
        <w:rPr>
          <w:rFonts w:eastAsia="EUAlbertina-Regular-Identity-H"/>
          <w:sz w:val="16"/>
          <w:szCs w:val="18"/>
        </w:rPr>
      </w:pPr>
      <w:r w:rsidRPr="0014344A">
        <w:rPr>
          <w:rStyle w:val="ae"/>
          <w:b/>
          <w:sz w:val="16"/>
          <w:szCs w:val="18"/>
        </w:rPr>
        <w:footnoteRef/>
      </w:r>
      <w:r w:rsidRPr="0014344A">
        <w:rPr>
          <w:b/>
          <w:sz w:val="16"/>
          <w:szCs w:val="18"/>
          <w:lang w:val="ru-RU"/>
        </w:rPr>
        <w:t xml:space="preserve"> </w:t>
      </w:r>
      <w:r w:rsidRPr="0014344A">
        <w:rPr>
          <w:sz w:val="16"/>
          <w:szCs w:val="18"/>
        </w:rPr>
        <w:t>Категорията микро-, малки и средни предприятия („МСП“) е съставена от предприятия, които наемат под 250 души персонал и които имат годишен оборот, който не надвишава 50 млн. EUR, и/или с общ годишен балансов отчет,ненадвишаващ 43 млн. EUR.</w:t>
      </w:r>
    </w:p>
  </w:footnote>
  <w:footnote w:id="2">
    <w:p w:rsidR="00D103EE" w:rsidRPr="0014344A" w:rsidRDefault="00D103EE" w:rsidP="00293F4C">
      <w:pPr>
        <w:jc w:val="both"/>
        <w:rPr>
          <w:sz w:val="16"/>
          <w:szCs w:val="18"/>
        </w:rPr>
      </w:pPr>
      <w:r w:rsidRPr="0014344A">
        <w:rPr>
          <w:rStyle w:val="ae"/>
          <w:b/>
          <w:sz w:val="16"/>
          <w:szCs w:val="18"/>
        </w:rPr>
        <w:footnoteRef/>
      </w:r>
      <w:r w:rsidRPr="0014344A">
        <w:rPr>
          <w:b/>
          <w:sz w:val="16"/>
          <w:szCs w:val="18"/>
        </w:rPr>
        <w:t xml:space="preserve"> </w:t>
      </w:r>
      <w:r w:rsidRPr="0014344A">
        <w:rPr>
          <w:sz w:val="16"/>
          <w:szCs w:val="18"/>
        </w:rPr>
        <w:t xml:space="preserve">предприятие в затруднено положение“ означава предприятие, по отношение на което е налице поне едно от следните обстоятелства: </w:t>
      </w:r>
    </w:p>
    <w:p w:rsidR="00D103EE" w:rsidRPr="0014344A" w:rsidRDefault="00D103EE" w:rsidP="00293F4C">
      <w:pPr>
        <w:jc w:val="both"/>
        <w:rPr>
          <w:sz w:val="16"/>
          <w:szCs w:val="18"/>
        </w:rPr>
      </w:pPr>
      <w:r w:rsidRPr="0014344A">
        <w:rPr>
          <w:sz w:val="16"/>
          <w:szCs w:val="18"/>
        </w:rPr>
        <w:t xml:space="preserve">а) в случай на дружество с ограничена отговорност (различни от МСП, което съществува от по-малко от три години), когато записаният му акционерен капитал е намалял с повече от половината поради натрупани загуби. </w:t>
      </w:r>
      <w:r w:rsidRPr="0014344A">
        <w:rPr>
          <w:sz w:val="16"/>
          <w:szCs w:val="18"/>
        </w:rPr>
        <w:t xml:space="preserve">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„дружество с ограничена отговорност“ се отнася по-специално до видовете дружества, упоменати в приложение I към Директива 2013/34/ЕС на Европейския парламент и на Съвета (1), а „акционерен капитал“ включва, ако е уместно, всякакви премии от емисии; </w:t>
      </w:r>
    </w:p>
    <w:p w:rsidR="00D103EE" w:rsidRPr="0014344A" w:rsidRDefault="00D103EE" w:rsidP="00293F4C">
      <w:pPr>
        <w:jc w:val="both"/>
        <w:rPr>
          <w:sz w:val="16"/>
          <w:szCs w:val="18"/>
        </w:rPr>
      </w:pPr>
      <w:r w:rsidRPr="0014344A">
        <w:rPr>
          <w:sz w:val="16"/>
          <w:szCs w:val="18"/>
        </w:rPr>
        <w:t xml:space="preserve">б) в случай на дружество (различно от МСП, което съществува от по-малко от три години), при което поне някои съдружници носят неограничена отговорност за задълженията на дружеството, когато капиталът, посочен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 </w:t>
      </w:r>
    </w:p>
    <w:p w:rsidR="00D103EE" w:rsidRPr="0014344A" w:rsidRDefault="00D103EE" w:rsidP="00293F4C">
      <w:pPr>
        <w:jc w:val="both"/>
        <w:rPr>
          <w:sz w:val="16"/>
          <w:szCs w:val="18"/>
        </w:rPr>
      </w:pPr>
      <w:r w:rsidRPr="0014344A">
        <w:rPr>
          <w:sz w:val="16"/>
          <w:szCs w:val="18"/>
        </w:rPr>
        <w:t xml:space="preserve">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 </w:t>
      </w:r>
    </w:p>
    <w:p w:rsidR="00D103EE" w:rsidRPr="0014344A" w:rsidRDefault="00D103EE" w:rsidP="00293F4C">
      <w:pPr>
        <w:jc w:val="both"/>
        <w:rPr>
          <w:sz w:val="16"/>
          <w:szCs w:val="18"/>
        </w:rPr>
      </w:pPr>
      <w:r w:rsidRPr="0014344A">
        <w:rPr>
          <w:sz w:val="16"/>
          <w:szCs w:val="18"/>
        </w:rPr>
        <w:t xml:space="preserve">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 </w:t>
      </w:r>
    </w:p>
    <w:p w:rsidR="00D103EE" w:rsidRPr="0014344A" w:rsidRDefault="00D103EE" w:rsidP="00293F4C">
      <w:pPr>
        <w:jc w:val="both"/>
        <w:rPr>
          <w:rFonts w:ascii="Arial" w:hAnsi="Arial" w:cs="Arial"/>
          <w:color w:val="000080"/>
          <w:sz w:val="18"/>
        </w:rPr>
      </w:pPr>
      <w:r w:rsidRPr="0014344A">
        <w:rPr>
          <w:sz w:val="16"/>
          <w:szCs w:val="18"/>
        </w:rPr>
        <w:t>д) когато предприятието не е МСП и през последните две години</w:t>
      </w:r>
      <w:r w:rsidRPr="0014344A">
        <w:rPr>
          <w:rFonts w:ascii="Arial" w:hAnsi="Arial" w:cs="Arial"/>
          <w:color w:val="000080"/>
          <w:sz w:val="18"/>
        </w:rPr>
        <w:t xml:space="preserve">: </w:t>
      </w:r>
    </w:p>
    <w:p w:rsidR="00D103EE" w:rsidRPr="0014344A" w:rsidRDefault="00D103EE" w:rsidP="00293F4C">
      <w:pPr>
        <w:jc w:val="both"/>
        <w:rPr>
          <w:sz w:val="16"/>
          <w:szCs w:val="18"/>
        </w:rPr>
      </w:pPr>
      <w:r w:rsidRPr="0014344A">
        <w:rPr>
          <w:sz w:val="16"/>
          <w:szCs w:val="18"/>
        </w:rPr>
        <w:t xml:space="preserve">i) съотношението задължения/собствен капитал на предприятието е било по-голямо от 7,5 и </w:t>
      </w:r>
    </w:p>
    <w:p w:rsidR="00D103EE" w:rsidRPr="00C27DF8" w:rsidRDefault="00D103EE" w:rsidP="00293F4C">
      <w:pPr>
        <w:jc w:val="both"/>
        <w:rPr>
          <w:rFonts w:eastAsia="EUAlbertina-Regular-Identity-H"/>
          <w:sz w:val="18"/>
          <w:szCs w:val="18"/>
        </w:rPr>
      </w:pPr>
      <w:r w:rsidRPr="0014344A">
        <w:rPr>
          <w:sz w:val="16"/>
          <w:szCs w:val="18"/>
        </w:rPr>
        <w:t>ii) съотношението за лихвено покритие на предприятието, изчислено на основата на EBITDA, е било под 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9DC" w:rsidRDefault="006E49DC" w:rsidP="00CA4D68">
    <w:pPr>
      <w:pStyle w:val="a5"/>
    </w:pPr>
  </w:p>
  <w:p w:rsidR="00CA4D68" w:rsidRDefault="00CA4D68" w:rsidP="00CA4D68">
    <w:pPr>
      <w:pStyle w:val="a5"/>
    </w:pPr>
  </w:p>
  <w:p w:rsidR="00CA4D68" w:rsidRDefault="00CA4D68" w:rsidP="00CA4D68">
    <w:pPr>
      <w:pStyle w:val="a5"/>
    </w:pPr>
  </w:p>
  <w:p w:rsidR="00CA4D68" w:rsidRPr="00CA4D68" w:rsidRDefault="00CA4D68" w:rsidP="00CA4D6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912DD"/>
    <w:multiLevelType w:val="hybridMultilevel"/>
    <w:tmpl w:val="F9B2B708"/>
    <w:lvl w:ilvl="0" w:tplc="B9E2833C">
      <w:start w:val="1"/>
      <w:numFmt w:val="upperRoman"/>
      <w:lvlText w:val="%1."/>
      <w:lvlJc w:val="left"/>
      <w:pPr>
        <w:ind w:left="436" w:hanging="720"/>
      </w:pPr>
      <w:rPr>
        <w:rFonts w:cs="Times New Roman" w:hint="default"/>
      </w:rPr>
    </w:lvl>
    <w:lvl w:ilvl="1" w:tplc="04020019" w:tentative="1">
      <w:start w:val="1"/>
      <w:numFmt w:val="lowerLetter"/>
      <w:lvlText w:val="%2."/>
      <w:lvlJc w:val="left"/>
      <w:pPr>
        <w:ind w:left="796" w:hanging="360"/>
      </w:pPr>
      <w:rPr>
        <w:rFonts w:cs="Times New Roman"/>
      </w:rPr>
    </w:lvl>
    <w:lvl w:ilvl="2" w:tplc="0402001B" w:tentative="1">
      <w:start w:val="1"/>
      <w:numFmt w:val="lowerRoman"/>
      <w:lvlText w:val="%3."/>
      <w:lvlJc w:val="right"/>
      <w:pPr>
        <w:ind w:left="1516" w:hanging="180"/>
      </w:pPr>
      <w:rPr>
        <w:rFonts w:cs="Times New Roman"/>
      </w:rPr>
    </w:lvl>
    <w:lvl w:ilvl="3" w:tplc="0402000F" w:tentative="1">
      <w:start w:val="1"/>
      <w:numFmt w:val="decimal"/>
      <w:lvlText w:val="%4."/>
      <w:lvlJc w:val="left"/>
      <w:pPr>
        <w:ind w:left="2236" w:hanging="360"/>
      </w:pPr>
      <w:rPr>
        <w:rFonts w:cs="Times New Roman"/>
      </w:rPr>
    </w:lvl>
    <w:lvl w:ilvl="4" w:tplc="04020019" w:tentative="1">
      <w:start w:val="1"/>
      <w:numFmt w:val="lowerLetter"/>
      <w:lvlText w:val="%5."/>
      <w:lvlJc w:val="left"/>
      <w:pPr>
        <w:ind w:left="2956" w:hanging="360"/>
      </w:pPr>
      <w:rPr>
        <w:rFonts w:cs="Times New Roman"/>
      </w:rPr>
    </w:lvl>
    <w:lvl w:ilvl="5" w:tplc="0402001B" w:tentative="1">
      <w:start w:val="1"/>
      <w:numFmt w:val="lowerRoman"/>
      <w:lvlText w:val="%6."/>
      <w:lvlJc w:val="right"/>
      <w:pPr>
        <w:ind w:left="3676" w:hanging="180"/>
      </w:pPr>
      <w:rPr>
        <w:rFonts w:cs="Times New Roman"/>
      </w:rPr>
    </w:lvl>
    <w:lvl w:ilvl="6" w:tplc="0402000F" w:tentative="1">
      <w:start w:val="1"/>
      <w:numFmt w:val="decimal"/>
      <w:lvlText w:val="%7."/>
      <w:lvlJc w:val="left"/>
      <w:pPr>
        <w:ind w:left="4396" w:hanging="360"/>
      </w:pPr>
      <w:rPr>
        <w:rFonts w:cs="Times New Roman"/>
      </w:rPr>
    </w:lvl>
    <w:lvl w:ilvl="7" w:tplc="04020019" w:tentative="1">
      <w:start w:val="1"/>
      <w:numFmt w:val="lowerLetter"/>
      <w:lvlText w:val="%8."/>
      <w:lvlJc w:val="left"/>
      <w:pPr>
        <w:ind w:left="5116" w:hanging="360"/>
      </w:pPr>
      <w:rPr>
        <w:rFonts w:cs="Times New Roman"/>
      </w:rPr>
    </w:lvl>
    <w:lvl w:ilvl="8" w:tplc="0402001B" w:tentative="1">
      <w:start w:val="1"/>
      <w:numFmt w:val="lowerRoman"/>
      <w:lvlText w:val="%9."/>
      <w:lvlJc w:val="right"/>
      <w:pPr>
        <w:ind w:left="5836"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F38"/>
    <w:rsid w:val="00045DC9"/>
    <w:rsid w:val="00293F4C"/>
    <w:rsid w:val="002C4F25"/>
    <w:rsid w:val="0038099E"/>
    <w:rsid w:val="00382BD9"/>
    <w:rsid w:val="00384BED"/>
    <w:rsid w:val="00482A07"/>
    <w:rsid w:val="0052043B"/>
    <w:rsid w:val="005256D2"/>
    <w:rsid w:val="005260EC"/>
    <w:rsid w:val="00584AF1"/>
    <w:rsid w:val="006774B0"/>
    <w:rsid w:val="006E49DC"/>
    <w:rsid w:val="006F69A1"/>
    <w:rsid w:val="00841247"/>
    <w:rsid w:val="008C7F60"/>
    <w:rsid w:val="009024BB"/>
    <w:rsid w:val="0090348A"/>
    <w:rsid w:val="009557B4"/>
    <w:rsid w:val="00A513E9"/>
    <w:rsid w:val="00A95A5A"/>
    <w:rsid w:val="00AC1F38"/>
    <w:rsid w:val="00B20D71"/>
    <w:rsid w:val="00B815A1"/>
    <w:rsid w:val="00CA4D68"/>
    <w:rsid w:val="00D103EE"/>
    <w:rsid w:val="00E15415"/>
    <w:rsid w:val="00E172F5"/>
    <w:rsid w:val="00E1784C"/>
    <w:rsid w:val="00E84B67"/>
    <w:rsid w:val="00EA0137"/>
    <w:rsid w:val="00EB14E2"/>
    <w:rsid w:val="00FD0E3C"/>
    <w:rsid w:val="00FE7D2B"/>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F38"/>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AC1F38"/>
    <w:rPr>
      <w:rFonts w:ascii="Tahoma" w:hAnsi="Tahoma" w:cs="Tahoma"/>
      <w:sz w:val="16"/>
      <w:szCs w:val="16"/>
    </w:rPr>
  </w:style>
  <w:style w:type="character" w:customStyle="1" w:styleId="a4">
    <w:name w:val="План на документа Знак"/>
    <w:basedOn w:val="a0"/>
    <w:link w:val="a3"/>
    <w:uiPriority w:val="99"/>
    <w:semiHidden/>
    <w:rsid w:val="00AC1F38"/>
    <w:rPr>
      <w:rFonts w:ascii="Tahoma" w:eastAsia="Times New Roman" w:hAnsi="Tahoma" w:cs="Tahoma"/>
      <w:sz w:val="16"/>
      <w:szCs w:val="16"/>
      <w:lang w:eastAsia="bg-BG"/>
    </w:rPr>
  </w:style>
  <w:style w:type="paragraph" w:styleId="a5">
    <w:name w:val="header"/>
    <w:basedOn w:val="a"/>
    <w:link w:val="a6"/>
    <w:uiPriority w:val="99"/>
    <w:unhideWhenUsed/>
    <w:rsid w:val="008C7F60"/>
    <w:pPr>
      <w:tabs>
        <w:tab w:val="center" w:pos="4536"/>
        <w:tab w:val="right" w:pos="9072"/>
      </w:tabs>
    </w:pPr>
  </w:style>
  <w:style w:type="character" w:customStyle="1" w:styleId="a6">
    <w:name w:val="Горен колонтитул Знак"/>
    <w:basedOn w:val="a0"/>
    <w:link w:val="a5"/>
    <w:uiPriority w:val="99"/>
    <w:rsid w:val="008C7F60"/>
    <w:rPr>
      <w:rFonts w:ascii="Times New Roman" w:eastAsia="Times New Roman" w:hAnsi="Times New Roman" w:cs="Times New Roman"/>
      <w:sz w:val="20"/>
      <w:szCs w:val="20"/>
      <w:lang w:eastAsia="bg-BG"/>
    </w:rPr>
  </w:style>
  <w:style w:type="paragraph" w:styleId="a7">
    <w:name w:val="footer"/>
    <w:basedOn w:val="a"/>
    <w:link w:val="a8"/>
    <w:uiPriority w:val="99"/>
    <w:unhideWhenUsed/>
    <w:rsid w:val="008C7F60"/>
    <w:pPr>
      <w:tabs>
        <w:tab w:val="center" w:pos="4536"/>
        <w:tab w:val="right" w:pos="9072"/>
      </w:tabs>
    </w:pPr>
  </w:style>
  <w:style w:type="character" w:customStyle="1" w:styleId="a8">
    <w:name w:val="Долен колонтитул Знак"/>
    <w:basedOn w:val="a0"/>
    <w:link w:val="a7"/>
    <w:uiPriority w:val="99"/>
    <w:rsid w:val="008C7F60"/>
    <w:rPr>
      <w:rFonts w:ascii="Times New Roman" w:eastAsia="Times New Roman" w:hAnsi="Times New Roman" w:cs="Times New Roman"/>
      <w:sz w:val="20"/>
      <w:szCs w:val="20"/>
      <w:lang w:eastAsia="bg-BG"/>
    </w:rPr>
  </w:style>
  <w:style w:type="paragraph" w:styleId="a9">
    <w:name w:val="Balloon Text"/>
    <w:basedOn w:val="a"/>
    <w:link w:val="aa"/>
    <w:uiPriority w:val="99"/>
    <w:semiHidden/>
    <w:unhideWhenUsed/>
    <w:rsid w:val="008C7F60"/>
    <w:rPr>
      <w:rFonts w:ascii="Tahoma" w:hAnsi="Tahoma" w:cs="Tahoma"/>
      <w:sz w:val="16"/>
      <w:szCs w:val="16"/>
    </w:rPr>
  </w:style>
  <w:style w:type="character" w:customStyle="1" w:styleId="aa">
    <w:name w:val="Изнесен текст Знак"/>
    <w:basedOn w:val="a0"/>
    <w:link w:val="a9"/>
    <w:uiPriority w:val="99"/>
    <w:semiHidden/>
    <w:rsid w:val="008C7F60"/>
    <w:rPr>
      <w:rFonts w:ascii="Tahoma" w:eastAsia="Times New Roman" w:hAnsi="Tahoma" w:cs="Tahoma"/>
      <w:sz w:val="16"/>
      <w:szCs w:val="16"/>
      <w:lang w:eastAsia="bg-BG"/>
    </w:rPr>
  </w:style>
  <w:style w:type="paragraph" w:styleId="ab">
    <w:name w:val="List Paragraph"/>
    <w:basedOn w:val="a"/>
    <w:uiPriority w:val="34"/>
    <w:qFormat/>
    <w:rsid w:val="00D103EE"/>
    <w:pPr>
      <w:widowControl/>
      <w:autoSpaceDE/>
      <w:autoSpaceDN/>
      <w:adjustRightInd/>
      <w:ind w:left="720"/>
      <w:contextualSpacing/>
    </w:pPr>
    <w:rPr>
      <w:sz w:val="24"/>
      <w:szCs w:val="24"/>
    </w:rPr>
  </w:style>
  <w:style w:type="paragraph" w:styleId="ac">
    <w:name w:val="Normal (Web)"/>
    <w:aliases w:val="Normal (Web) Char"/>
    <w:basedOn w:val="a"/>
    <w:link w:val="ad"/>
    <w:rsid w:val="00D103EE"/>
    <w:pPr>
      <w:widowControl/>
      <w:autoSpaceDE/>
      <w:autoSpaceDN/>
      <w:adjustRightInd/>
      <w:spacing w:before="100" w:beforeAutospacing="1" w:after="100" w:afterAutospacing="1"/>
    </w:pPr>
    <w:rPr>
      <w:sz w:val="24"/>
      <w:szCs w:val="24"/>
      <w:lang w:val="en-US" w:eastAsia="en-US"/>
    </w:rPr>
  </w:style>
  <w:style w:type="character" w:customStyle="1" w:styleId="spelle">
    <w:name w:val="spelle"/>
    <w:basedOn w:val="a0"/>
    <w:rsid w:val="00D103EE"/>
  </w:style>
  <w:style w:type="character" w:styleId="ae">
    <w:name w:val="footnote reference"/>
    <w:aliases w:val="Footnote symbol"/>
    <w:semiHidden/>
    <w:rsid w:val="00D103EE"/>
    <w:rPr>
      <w:vertAlign w:val="superscript"/>
    </w:rPr>
  </w:style>
  <w:style w:type="character" w:customStyle="1" w:styleId="ad">
    <w:name w:val="Нормален (уеб) Знак"/>
    <w:aliases w:val="Normal (Web) Char Знак"/>
    <w:link w:val="ac"/>
    <w:rsid w:val="00D103EE"/>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F38"/>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AC1F38"/>
    <w:rPr>
      <w:rFonts w:ascii="Tahoma" w:hAnsi="Tahoma" w:cs="Tahoma"/>
      <w:sz w:val="16"/>
      <w:szCs w:val="16"/>
    </w:rPr>
  </w:style>
  <w:style w:type="character" w:customStyle="1" w:styleId="a4">
    <w:name w:val="План на документа Знак"/>
    <w:basedOn w:val="a0"/>
    <w:link w:val="a3"/>
    <w:uiPriority w:val="99"/>
    <w:semiHidden/>
    <w:rsid w:val="00AC1F38"/>
    <w:rPr>
      <w:rFonts w:ascii="Tahoma" w:eastAsia="Times New Roman" w:hAnsi="Tahoma" w:cs="Tahoma"/>
      <w:sz w:val="16"/>
      <w:szCs w:val="16"/>
      <w:lang w:eastAsia="bg-BG"/>
    </w:rPr>
  </w:style>
  <w:style w:type="paragraph" w:styleId="a5">
    <w:name w:val="header"/>
    <w:basedOn w:val="a"/>
    <w:link w:val="a6"/>
    <w:uiPriority w:val="99"/>
    <w:unhideWhenUsed/>
    <w:rsid w:val="008C7F60"/>
    <w:pPr>
      <w:tabs>
        <w:tab w:val="center" w:pos="4536"/>
        <w:tab w:val="right" w:pos="9072"/>
      </w:tabs>
    </w:pPr>
  </w:style>
  <w:style w:type="character" w:customStyle="1" w:styleId="a6">
    <w:name w:val="Горен колонтитул Знак"/>
    <w:basedOn w:val="a0"/>
    <w:link w:val="a5"/>
    <w:uiPriority w:val="99"/>
    <w:rsid w:val="008C7F60"/>
    <w:rPr>
      <w:rFonts w:ascii="Times New Roman" w:eastAsia="Times New Roman" w:hAnsi="Times New Roman" w:cs="Times New Roman"/>
      <w:sz w:val="20"/>
      <w:szCs w:val="20"/>
      <w:lang w:eastAsia="bg-BG"/>
    </w:rPr>
  </w:style>
  <w:style w:type="paragraph" w:styleId="a7">
    <w:name w:val="footer"/>
    <w:basedOn w:val="a"/>
    <w:link w:val="a8"/>
    <w:uiPriority w:val="99"/>
    <w:unhideWhenUsed/>
    <w:rsid w:val="008C7F60"/>
    <w:pPr>
      <w:tabs>
        <w:tab w:val="center" w:pos="4536"/>
        <w:tab w:val="right" w:pos="9072"/>
      </w:tabs>
    </w:pPr>
  </w:style>
  <w:style w:type="character" w:customStyle="1" w:styleId="a8">
    <w:name w:val="Долен колонтитул Знак"/>
    <w:basedOn w:val="a0"/>
    <w:link w:val="a7"/>
    <w:uiPriority w:val="99"/>
    <w:rsid w:val="008C7F60"/>
    <w:rPr>
      <w:rFonts w:ascii="Times New Roman" w:eastAsia="Times New Roman" w:hAnsi="Times New Roman" w:cs="Times New Roman"/>
      <w:sz w:val="20"/>
      <w:szCs w:val="20"/>
      <w:lang w:eastAsia="bg-BG"/>
    </w:rPr>
  </w:style>
  <w:style w:type="paragraph" w:styleId="a9">
    <w:name w:val="Balloon Text"/>
    <w:basedOn w:val="a"/>
    <w:link w:val="aa"/>
    <w:uiPriority w:val="99"/>
    <w:semiHidden/>
    <w:unhideWhenUsed/>
    <w:rsid w:val="008C7F60"/>
    <w:rPr>
      <w:rFonts w:ascii="Tahoma" w:hAnsi="Tahoma" w:cs="Tahoma"/>
      <w:sz w:val="16"/>
      <w:szCs w:val="16"/>
    </w:rPr>
  </w:style>
  <w:style w:type="character" w:customStyle="1" w:styleId="aa">
    <w:name w:val="Изнесен текст Знак"/>
    <w:basedOn w:val="a0"/>
    <w:link w:val="a9"/>
    <w:uiPriority w:val="99"/>
    <w:semiHidden/>
    <w:rsid w:val="008C7F60"/>
    <w:rPr>
      <w:rFonts w:ascii="Tahoma" w:eastAsia="Times New Roman" w:hAnsi="Tahoma" w:cs="Tahoma"/>
      <w:sz w:val="16"/>
      <w:szCs w:val="16"/>
      <w:lang w:eastAsia="bg-BG"/>
    </w:rPr>
  </w:style>
  <w:style w:type="paragraph" w:styleId="ab">
    <w:name w:val="List Paragraph"/>
    <w:basedOn w:val="a"/>
    <w:uiPriority w:val="34"/>
    <w:qFormat/>
    <w:rsid w:val="00D103EE"/>
    <w:pPr>
      <w:widowControl/>
      <w:autoSpaceDE/>
      <w:autoSpaceDN/>
      <w:adjustRightInd/>
      <w:ind w:left="720"/>
      <w:contextualSpacing/>
    </w:pPr>
    <w:rPr>
      <w:sz w:val="24"/>
      <w:szCs w:val="24"/>
    </w:rPr>
  </w:style>
  <w:style w:type="paragraph" w:styleId="ac">
    <w:name w:val="Normal (Web)"/>
    <w:aliases w:val="Normal (Web) Char"/>
    <w:basedOn w:val="a"/>
    <w:link w:val="ad"/>
    <w:rsid w:val="00D103EE"/>
    <w:pPr>
      <w:widowControl/>
      <w:autoSpaceDE/>
      <w:autoSpaceDN/>
      <w:adjustRightInd/>
      <w:spacing w:before="100" w:beforeAutospacing="1" w:after="100" w:afterAutospacing="1"/>
    </w:pPr>
    <w:rPr>
      <w:sz w:val="24"/>
      <w:szCs w:val="24"/>
      <w:lang w:val="en-US" w:eastAsia="en-US"/>
    </w:rPr>
  </w:style>
  <w:style w:type="character" w:customStyle="1" w:styleId="spelle">
    <w:name w:val="spelle"/>
    <w:basedOn w:val="a0"/>
    <w:rsid w:val="00D103EE"/>
  </w:style>
  <w:style w:type="character" w:styleId="ae">
    <w:name w:val="footnote reference"/>
    <w:aliases w:val="Footnote symbol"/>
    <w:semiHidden/>
    <w:rsid w:val="00D103EE"/>
    <w:rPr>
      <w:vertAlign w:val="superscript"/>
    </w:rPr>
  </w:style>
  <w:style w:type="character" w:customStyle="1" w:styleId="ad">
    <w:name w:val="Нормален (уеб) Знак"/>
    <w:aliases w:val="Normal (Web) Char Знак"/>
    <w:link w:val="ac"/>
    <w:rsid w:val="00D103EE"/>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39D23-5B78-420E-9D76-5CEE3C82C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244</Words>
  <Characters>1397</Characters>
  <Application>Microsoft Office Word</Application>
  <DocSecurity>0</DocSecurity>
  <Lines>11</Lines>
  <Paragraphs>3</Paragraphs>
  <ScaleCrop>false</ScaleCrop>
  <HeadingPairs>
    <vt:vector size="2" baseType="variant">
      <vt:variant>
        <vt:lpstr>Заглавие</vt:lpstr>
      </vt:variant>
      <vt:variant>
        <vt:i4>1</vt:i4>
      </vt:variant>
    </vt:vector>
  </HeadingPairs>
  <TitlesOfParts>
    <vt:vector size="1" baseType="lpstr">
      <vt:lpstr/>
    </vt:vector>
  </TitlesOfParts>
  <Company>HP Inc.</Company>
  <LinksUpToDate>false</LinksUpToDate>
  <CharactersWithSpaces>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asibek</dc:creator>
  <cp:lastModifiedBy>MIG-Maritsa</cp:lastModifiedBy>
  <cp:revision>5</cp:revision>
  <dcterms:created xsi:type="dcterms:W3CDTF">2020-09-09T07:09:00Z</dcterms:created>
  <dcterms:modified xsi:type="dcterms:W3CDTF">2020-10-05T11:51:00Z</dcterms:modified>
</cp:coreProperties>
</file>